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CellSpacing w:w="2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2577"/>
        <w:gridCol w:w="2708"/>
        <w:gridCol w:w="4144"/>
      </w:tblGrid>
      <w:tr w:rsidR="000D40AF" w:rsidRPr="00BA5B48" w:rsidTr="000652D1">
        <w:trPr>
          <w:trHeight w:val="336"/>
          <w:tblCellSpacing w:w="20" w:type="dxa"/>
          <w:jc w:val="center"/>
        </w:trPr>
        <w:tc>
          <w:tcPr>
            <w:tcW w:w="2517" w:type="dxa"/>
            <w:vMerge w:val="restart"/>
            <w:tcBorders>
              <w:top w:val="threeDEngrave" w:sz="12" w:space="0" w:color="auto"/>
              <w:left w:val="threeDEngrave" w:sz="12" w:space="0" w:color="auto"/>
              <w:bottom w:val="threeDEngrave" w:sz="12" w:space="0" w:color="auto"/>
              <w:right w:val="threeDEngrave" w:sz="12" w:space="0" w:color="auto"/>
            </w:tcBorders>
            <w:shd w:val="clear" w:color="auto" w:fill="auto"/>
          </w:tcPr>
          <w:p w:rsidR="000D40AF" w:rsidRPr="00BA5B48" w:rsidRDefault="000D40AF" w:rsidP="000652D1">
            <w:pPr>
              <w:rPr>
                <w:sz w:val="16"/>
                <w:szCs w:val="16"/>
                <w:lang w:val="en-US"/>
              </w:rPr>
            </w:pPr>
          </w:p>
          <w:p w:rsidR="000D40AF" w:rsidRPr="00BA5B48" w:rsidRDefault="000D40AF" w:rsidP="000652D1">
            <w:pPr>
              <w:rPr>
                <w:rFonts w:ascii="Comic Sans MS" w:hAnsi="Comic Sans MS"/>
              </w:rPr>
            </w:pPr>
            <w:r>
              <w:rPr>
                <w:rFonts w:ascii="Comic Sans MS" w:hAnsi="Comic Sans MS"/>
                <w:noProof/>
              </w:rPr>
              <w:drawing>
                <wp:inline distT="0" distB="0" distL="0" distR="0">
                  <wp:extent cx="1354455" cy="845185"/>
                  <wp:effectExtent l="0" t="0" r="0" b="0"/>
                  <wp:docPr id="1" name="Picture 1" descr="neo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neo logo MO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55" cy="845185"/>
                          </a:xfrm>
                          <a:prstGeom prst="rect">
                            <a:avLst/>
                          </a:prstGeom>
                          <a:noFill/>
                          <a:ln>
                            <a:noFill/>
                          </a:ln>
                        </pic:spPr>
                      </pic:pic>
                    </a:graphicData>
                  </a:graphic>
                </wp:inline>
              </w:drawing>
            </w:r>
          </w:p>
        </w:tc>
        <w:tc>
          <w:tcPr>
            <w:tcW w:w="2668" w:type="dxa"/>
            <w:tcBorders>
              <w:top w:val="threeDEngrave" w:sz="12" w:space="0" w:color="auto"/>
              <w:left w:val="threeDEngrave" w:sz="12" w:space="0" w:color="auto"/>
              <w:bottom w:val="threeDEngrave" w:sz="12" w:space="0" w:color="auto"/>
              <w:right w:val="threeDEngrave" w:sz="12" w:space="0" w:color="auto"/>
            </w:tcBorders>
            <w:shd w:val="clear" w:color="auto" w:fill="auto"/>
            <w:vAlign w:val="center"/>
            <w:hideMark/>
          </w:tcPr>
          <w:p w:rsidR="000D40AF" w:rsidRPr="00BA5B48" w:rsidRDefault="000D40AF" w:rsidP="000652D1">
            <w:pPr>
              <w:jc w:val="center"/>
              <w:rPr>
                <w:rFonts w:ascii="Comic Sans MS" w:hAnsi="Comic Sans MS" w:cs="Arial"/>
                <w:b/>
              </w:rPr>
            </w:pPr>
            <w:r w:rsidRPr="00BA5B48">
              <w:rPr>
                <w:rFonts w:ascii="Comic Sans MS" w:hAnsi="Comic Sans MS" w:cs="Arial"/>
                <w:b/>
                <w:sz w:val="22"/>
                <w:szCs w:val="22"/>
              </w:rPr>
              <w:t xml:space="preserve">ΜΑΘΗΜΑ - </w:t>
            </w:r>
          </w:p>
          <w:p w:rsidR="000D40AF" w:rsidRPr="00BA5B48" w:rsidRDefault="000D40AF" w:rsidP="000652D1">
            <w:pPr>
              <w:jc w:val="center"/>
              <w:rPr>
                <w:rFonts w:ascii="Arial" w:hAnsi="Arial" w:cs="Arial"/>
                <w:b/>
              </w:rPr>
            </w:pPr>
            <w:r w:rsidRPr="00BA5B48">
              <w:rPr>
                <w:rFonts w:ascii="Comic Sans MS" w:hAnsi="Comic Sans MS" w:cs="Arial"/>
                <w:b/>
                <w:sz w:val="22"/>
                <w:szCs w:val="22"/>
              </w:rPr>
              <w:t>ΕΞΕΤΑΖΟΜΕΝΗ ΥΛΗ</w:t>
            </w:r>
          </w:p>
        </w:tc>
        <w:tc>
          <w:tcPr>
            <w:tcW w:w="4084" w:type="dxa"/>
            <w:tcBorders>
              <w:top w:val="threeDEngrave" w:sz="12" w:space="0" w:color="auto"/>
              <w:left w:val="threeDEngrave" w:sz="12" w:space="0" w:color="auto"/>
              <w:bottom w:val="threeDEngrave" w:sz="12" w:space="0" w:color="auto"/>
              <w:right w:val="threeDEngrave" w:sz="12" w:space="0" w:color="auto"/>
            </w:tcBorders>
            <w:shd w:val="clear" w:color="auto" w:fill="auto"/>
            <w:hideMark/>
          </w:tcPr>
          <w:p w:rsidR="000D40AF" w:rsidRPr="00BA5B48" w:rsidRDefault="000D40AF" w:rsidP="000652D1">
            <w:pPr>
              <w:jc w:val="center"/>
              <w:rPr>
                <w:rFonts w:ascii="Comic Sans MS" w:hAnsi="Comic Sans MS"/>
                <w:b/>
              </w:rPr>
            </w:pPr>
            <w:r w:rsidRPr="00BA5B48">
              <w:rPr>
                <w:rFonts w:ascii="Comic Sans MS" w:hAnsi="Comic Sans MS"/>
                <w:b/>
              </w:rPr>
              <w:t xml:space="preserve">Αρχαία Ελληνικά-  </w:t>
            </w:r>
            <w:r w:rsidR="00525A5B">
              <w:rPr>
                <w:rFonts w:ascii="Comic Sans MS" w:hAnsi="Comic Sans MS"/>
                <w:b/>
              </w:rPr>
              <w:t xml:space="preserve">              Απαντήσεις</w:t>
            </w:r>
          </w:p>
        </w:tc>
      </w:tr>
      <w:tr w:rsidR="000D40AF" w:rsidRPr="00BA5B48" w:rsidTr="000652D1">
        <w:trPr>
          <w:trHeight w:val="20"/>
          <w:tblCellSpacing w:w="20" w:type="dxa"/>
          <w:jc w:val="center"/>
        </w:trPr>
        <w:tc>
          <w:tcPr>
            <w:tcW w:w="2517" w:type="dxa"/>
            <w:vMerge/>
            <w:tcBorders>
              <w:top w:val="threeDEngrave" w:sz="12" w:space="0" w:color="auto"/>
              <w:left w:val="threeDEngrave" w:sz="12" w:space="0" w:color="auto"/>
              <w:bottom w:val="threeDEngrave" w:sz="12" w:space="0" w:color="auto"/>
              <w:right w:val="threeDEngrave" w:sz="12" w:space="0" w:color="auto"/>
            </w:tcBorders>
            <w:shd w:val="clear" w:color="auto" w:fill="auto"/>
            <w:vAlign w:val="center"/>
            <w:hideMark/>
          </w:tcPr>
          <w:p w:rsidR="000D40AF" w:rsidRPr="00BA5B48" w:rsidRDefault="000D40AF" w:rsidP="000652D1">
            <w:pPr>
              <w:rPr>
                <w:rFonts w:ascii="Comic Sans MS" w:hAnsi="Comic Sans MS"/>
              </w:rPr>
            </w:pPr>
          </w:p>
        </w:tc>
        <w:tc>
          <w:tcPr>
            <w:tcW w:w="2668" w:type="dxa"/>
            <w:tcBorders>
              <w:top w:val="threeDEngrave" w:sz="12" w:space="0" w:color="auto"/>
              <w:left w:val="threeDEngrave" w:sz="12" w:space="0" w:color="auto"/>
              <w:bottom w:val="threeDEngrave" w:sz="12" w:space="0" w:color="auto"/>
              <w:right w:val="threeDEngrave" w:sz="12" w:space="0" w:color="auto"/>
            </w:tcBorders>
            <w:shd w:val="clear" w:color="auto" w:fill="auto"/>
            <w:vAlign w:val="center"/>
            <w:hideMark/>
          </w:tcPr>
          <w:p w:rsidR="000D40AF" w:rsidRPr="00BA5B48" w:rsidRDefault="000D40AF" w:rsidP="000652D1">
            <w:pPr>
              <w:jc w:val="center"/>
              <w:rPr>
                <w:rFonts w:ascii="Comic Sans MS" w:hAnsi="Comic Sans MS" w:cs="Arial"/>
                <w:b/>
              </w:rPr>
            </w:pPr>
          </w:p>
        </w:tc>
        <w:tc>
          <w:tcPr>
            <w:tcW w:w="4084" w:type="dxa"/>
            <w:tcBorders>
              <w:top w:val="threeDEngrave" w:sz="12" w:space="0" w:color="auto"/>
              <w:left w:val="threeDEngrave" w:sz="12" w:space="0" w:color="auto"/>
              <w:bottom w:val="threeDEngrave" w:sz="12" w:space="0" w:color="auto"/>
              <w:right w:val="threeDEngrave" w:sz="12" w:space="0" w:color="auto"/>
            </w:tcBorders>
            <w:shd w:val="clear" w:color="auto" w:fill="auto"/>
            <w:vAlign w:val="center"/>
          </w:tcPr>
          <w:p w:rsidR="000D40AF" w:rsidRPr="00BA5B48" w:rsidRDefault="000D40AF" w:rsidP="000652D1">
            <w:pPr>
              <w:rPr>
                <w:rFonts w:ascii="Comic Sans MS" w:hAnsi="Comic Sans MS"/>
              </w:rPr>
            </w:pPr>
          </w:p>
        </w:tc>
      </w:tr>
      <w:tr w:rsidR="000D40AF" w:rsidRPr="00BA5B48" w:rsidTr="000652D1">
        <w:trPr>
          <w:trHeight w:val="421"/>
          <w:tblCellSpacing w:w="20" w:type="dxa"/>
          <w:jc w:val="center"/>
        </w:trPr>
        <w:tc>
          <w:tcPr>
            <w:tcW w:w="2517" w:type="dxa"/>
            <w:vMerge/>
            <w:tcBorders>
              <w:top w:val="threeDEngrave" w:sz="12" w:space="0" w:color="auto"/>
              <w:left w:val="threeDEngrave" w:sz="12" w:space="0" w:color="auto"/>
              <w:bottom w:val="threeDEngrave" w:sz="12" w:space="0" w:color="auto"/>
              <w:right w:val="threeDEngrave" w:sz="12" w:space="0" w:color="auto"/>
            </w:tcBorders>
            <w:shd w:val="clear" w:color="auto" w:fill="auto"/>
            <w:vAlign w:val="center"/>
            <w:hideMark/>
          </w:tcPr>
          <w:p w:rsidR="000D40AF" w:rsidRPr="00BA5B48" w:rsidRDefault="000D40AF" w:rsidP="000652D1">
            <w:pPr>
              <w:rPr>
                <w:rFonts w:ascii="Comic Sans MS" w:hAnsi="Comic Sans MS"/>
              </w:rPr>
            </w:pPr>
          </w:p>
        </w:tc>
        <w:tc>
          <w:tcPr>
            <w:tcW w:w="2668" w:type="dxa"/>
            <w:tcBorders>
              <w:top w:val="threeDEngrave" w:sz="12" w:space="0" w:color="auto"/>
              <w:left w:val="threeDEngrave" w:sz="12" w:space="0" w:color="auto"/>
              <w:bottom w:val="threeDEngrave" w:sz="12" w:space="0" w:color="auto"/>
              <w:right w:val="threeDEngrave" w:sz="12" w:space="0" w:color="auto"/>
            </w:tcBorders>
            <w:shd w:val="clear" w:color="auto" w:fill="auto"/>
            <w:vAlign w:val="center"/>
          </w:tcPr>
          <w:p w:rsidR="000D40AF" w:rsidRPr="00BA5B48" w:rsidRDefault="000D40AF" w:rsidP="000652D1">
            <w:pPr>
              <w:jc w:val="center"/>
              <w:rPr>
                <w:rFonts w:ascii="Comic Sans MS" w:hAnsi="Comic Sans MS" w:cs="Arial"/>
                <w:b/>
              </w:rPr>
            </w:pPr>
          </w:p>
        </w:tc>
        <w:tc>
          <w:tcPr>
            <w:tcW w:w="4084" w:type="dxa"/>
            <w:tcBorders>
              <w:top w:val="threeDEngrave" w:sz="12" w:space="0" w:color="auto"/>
              <w:left w:val="threeDEngrave" w:sz="12" w:space="0" w:color="auto"/>
              <w:bottom w:val="threeDEngrave" w:sz="12" w:space="0" w:color="auto"/>
              <w:right w:val="threeDEngrave" w:sz="12" w:space="0" w:color="auto"/>
            </w:tcBorders>
            <w:shd w:val="clear" w:color="auto" w:fill="auto"/>
            <w:vAlign w:val="center"/>
          </w:tcPr>
          <w:p w:rsidR="000D40AF" w:rsidRPr="00BA5B48" w:rsidRDefault="000D40AF" w:rsidP="000652D1">
            <w:pPr>
              <w:jc w:val="center"/>
              <w:rPr>
                <w:rFonts w:ascii="Comic Sans MS" w:hAnsi="Comic Sans MS"/>
              </w:rPr>
            </w:pPr>
          </w:p>
        </w:tc>
      </w:tr>
    </w:tbl>
    <w:p w:rsidR="00647AC2" w:rsidRDefault="00647AC2"/>
    <w:p w:rsidR="000D40AF" w:rsidRPr="000D40AF" w:rsidRDefault="000D40AF" w:rsidP="000D40AF">
      <w:pPr>
        <w:jc w:val="center"/>
        <w:rPr>
          <w:rFonts w:ascii="Palatino Linotype" w:hAnsi="Palatino Linotype"/>
          <w:b/>
        </w:rPr>
      </w:pPr>
      <w:r w:rsidRPr="000D40AF">
        <w:rPr>
          <w:rFonts w:ascii="Palatino Linotype" w:hAnsi="Palatino Linotype"/>
          <w:b/>
        </w:rPr>
        <w:t>Γ ΛΥΚΕΙΟΥ ΑΝΘΡΩΠΙΣΤΙΚΩΝ ΣΠΟΥΔΩΝ</w:t>
      </w:r>
    </w:p>
    <w:p w:rsidR="000D40AF" w:rsidRPr="000D40AF" w:rsidRDefault="000D40AF" w:rsidP="000D40AF">
      <w:pPr>
        <w:jc w:val="center"/>
        <w:rPr>
          <w:rFonts w:ascii="Palatino Linotype" w:hAnsi="Palatino Linotype"/>
          <w:b/>
        </w:rPr>
      </w:pPr>
      <w:r w:rsidRPr="000D40AF">
        <w:rPr>
          <w:rFonts w:ascii="Palatino Linotype" w:hAnsi="Palatino Linotype"/>
          <w:b/>
        </w:rPr>
        <w:t>ΑΠΑΝΤΗΣΕΙΣ ΣΤΟ ΑΔΙΔΑΚΤΟ ΚΕΙΜΕΝΟ ΤΩΝ ΑΡΧΑΙΩΝ ΕΛΛΗΝΙΚΩΝ</w:t>
      </w:r>
    </w:p>
    <w:p w:rsidR="000D40AF" w:rsidRDefault="000D40AF" w:rsidP="000D40AF">
      <w:pPr>
        <w:jc w:val="center"/>
        <w:rPr>
          <w:rFonts w:ascii="Palatino Linotype" w:hAnsi="Palatino Linotype"/>
          <w:b/>
        </w:rPr>
      </w:pPr>
      <w:r w:rsidRPr="000D40AF">
        <w:rPr>
          <w:rFonts w:ascii="Palatino Linotype" w:hAnsi="Palatino Linotype"/>
          <w:b/>
        </w:rPr>
        <w:t>ΔΗΜΟΣΘΕΝΟΥΣ ΠΕΡΙ ΤΟΥ ΣΤΕΦΑΝΟΥ 169-170</w:t>
      </w:r>
    </w:p>
    <w:p w:rsidR="000D40AF" w:rsidRDefault="000D40AF" w:rsidP="000D40AF">
      <w:pPr>
        <w:rPr>
          <w:rFonts w:ascii="Palatino Linotype" w:hAnsi="Palatino Linotype"/>
          <w:b/>
        </w:rPr>
      </w:pPr>
    </w:p>
    <w:p w:rsidR="000D40AF" w:rsidRDefault="000D40AF" w:rsidP="004A10BD">
      <w:pPr>
        <w:spacing w:line="276" w:lineRule="auto"/>
        <w:jc w:val="both"/>
        <w:rPr>
          <w:rFonts w:ascii="Palatino Linotype" w:hAnsi="Palatino Linotype"/>
        </w:rPr>
      </w:pPr>
      <w:r>
        <w:rPr>
          <w:rFonts w:ascii="Palatino Linotype" w:hAnsi="Palatino Linotype"/>
        </w:rPr>
        <w:t>Γ1. Ήταν λοιπόν βράδυ</w:t>
      </w:r>
      <w:r w:rsidR="00E161A1" w:rsidRPr="00E161A1">
        <w:rPr>
          <w:rFonts w:ascii="Palatino Linotype" w:hAnsi="Palatino Linotype"/>
        </w:rPr>
        <w:t xml:space="preserve"> </w:t>
      </w:r>
      <w:r>
        <w:rPr>
          <w:rFonts w:ascii="Palatino Linotype" w:hAnsi="Palatino Linotype"/>
        </w:rPr>
        <w:t>και ήρθε κάποιος στους πρυτάνεις και τους ανακοίνωσε (ανακοινώνοντας) ότι η Ελάτεια έχει καταληφθεί. Κι ύστερα απ ̉ αυτά άλλοι αφενός αμέσως αφού σηκώθηκαν (από το τραπέζι), ενώ δειπνούσαν, και απομάκρυν</w:t>
      </w:r>
      <w:r w:rsidR="00F11691">
        <w:rPr>
          <w:rFonts w:ascii="Palatino Linotype" w:hAnsi="Palatino Linotype"/>
        </w:rPr>
        <w:t>αν όσους έρχονταν από τις σκηνέ</w:t>
      </w:r>
      <w:r w:rsidR="00FD1333">
        <w:rPr>
          <w:rFonts w:ascii="Palatino Linotype" w:hAnsi="Palatino Linotype"/>
        </w:rPr>
        <w:t>ς που βρίσκονταν στην</w:t>
      </w:r>
      <w:r>
        <w:rPr>
          <w:rFonts w:ascii="Palatino Linotype" w:hAnsi="Palatino Linotype"/>
        </w:rPr>
        <w:t xml:space="preserve"> αγορά και πυρπολούσαν τα ξύλινα παραπήγματα, άλλοι αφετέρου έστελναν (ανθρώπους) και προσκαλούσαν τους στρατηγούς και φώναζαν το σαλπιγκτή˙</w:t>
      </w:r>
      <w:r w:rsidR="004408CF">
        <w:rPr>
          <w:rFonts w:ascii="Palatino Linotype" w:hAnsi="Palatino Linotype"/>
        </w:rPr>
        <w:t xml:space="preserve"> και η πόλη ήταν γεμάτη από θόρυβο. Την επόμενη λοιπόν μέρα, μόλις ξημέρωσε, αφενός οι πρυτάνεις καλούσαν τους βουλευτές </w:t>
      </w:r>
      <w:r w:rsidR="002C0170">
        <w:rPr>
          <w:rFonts w:ascii="Palatino Linotype" w:hAnsi="Palatino Linotype"/>
        </w:rPr>
        <w:t>στο βουλευτήριο, αφετέρου εσείς πηγαίνατε στην Εκκλησία</w:t>
      </w:r>
      <w:r w:rsidR="0094244A">
        <w:rPr>
          <w:rFonts w:ascii="Palatino Linotype" w:hAnsi="Palatino Linotype"/>
        </w:rPr>
        <w:t xml:space="preserve"> </w:t>
      </w:r>
      <w:r w:rsidR="002C0170">
        <w:rPr>
          <w:rFonts w:ascii="Palatino Linotype" w:hAnsi="Palatino Linotype"/>
        </w:rPr>
        <w:t>(συνέλευση) του δήμου και, προτού εκείνη συνεδριάσει και εκδώσει προκαταρκτική απόφαση, όλοι οι πολίτες κάθονταν επάνω</w:t>
      </w:r>
      <w:r w:rsidR="003D5FCB">
        <w:rPr>
          <w:rFonts w:ascii="Palatino Linotype" w:hAnsi="Palatino Linotype"/>
        </w:rPr>
        <w:t xml:space="preserve"> (στο λόφο της Πνύκας). Και μετά απ ̉ αυτά, αφού ήρθαν οι βουλευτές και ανακοίνωσαν οι πρυτάνεις όσα τους είχαν αναφερθεί και παρουσίασαν αυτόν που είχε έρθει και εκείνος επιβεβαίωσε την ανακοίνωση, ρωτούσε ο κήρυκας «ποιός θέλει να μιλήσει δημοσίως;», κανένας όμως δεν ανέβαινε στο βήμα.</w:t>
      </w:r>
    </w:p>
    <w:p w:rsidR="003D5FCB" w:rsidRDefault="003D5FCB" w:rsidP="004A10BD">
      <w:pPr>
        <w:spacing w:line="276" w:lineRule="auto"/>
        <w:jc w:val="both"/>
        <w:rPr>
          <w:rFonts w:ascii="Palatino Linotype" w:hAnsi="Palatino Linotype"/>
        </w:rPr>
      </w:pPr>
    </w:p>
    <w:p w:rsidR="003D5FCB" w:rsidRDefault="007F7042" w:rsidP="004A10BD">
      <w:pPr>
        <w:spacing w:line="276" w:lineRule="auto"/>
        <w:jc w:val="both"/>
        <w:rPr>
          <w:rFonts w:ascii="Palatino Linotype" w:hAnsi="Palatino Linotype"/>
        </w:rPr>
      </w:pPr>
      <w:r>
        <w:rPr>
          <w:rFonts w:ascii="Palatino Linotype" w:hAnsi="Palatino Linotype"/>
        </w:rPr>
        <w:t>Γ2. Πρυτάνει, ἐξαναστῆ</w:t>
      </w:r>
      <w:r w:rsidR="00BC00E7">
        <w:rPr>
          <w:rFonts w:ascii="Palatino Linotype" w:hAnsi="Palatino Linotype"/>
        </w:rPr>
        <w:t xml:space="preserve">τε, (ὦ) </w:t>
      </w:r>
      <w:r>
        <w:rPr>
          <w:rFonts w:ascii="Palatino Linotype" w:hAnsi="Palatino Linotype"/>
        </w:rPr>
        <w:t>σαλπιγκτά, πλήρων, ἀνωτάτω, ἀπάγγειλον,ἡμῖν αὐτοῖς, παρῆχθαι, ἐρωτῷεν, πάρεισι(ν).</w:t>
      </w:r>
    </w:p>
    <w:p w:rsidR="00BC00E7" w:rsidRDefault="00BC00E7" w:rsidP="004A10BD">
      <w:pPr>
        <w:spacing w:line="276" w:lineRule="auto"/>
        <w:jc w:val="both"/>
        <w:rPr>
          <w:rFonts w:ascii="Palatino Linotype" w:hAnsi="Palatino Linotype"/>
        </w:rPr>
      </w:pPr>
    </w:p>
    <w:p w:rsidR="00BC00E7" w:rsidRDefault="00BC00E7" w:rsidP="004A10BD">
      <w:pPr>
        <w:spacing w:line="276" w:lineRule="auto"/>
        <w:jc w:val="both"/>
        <w:rPr>
          <w:rFonts w:ascii="Palatino Linotype" w:hAnsi="Palatino Linotype"/>
        </w:rPr>
      </w:pPr>
      <w:r>
        <w:rPr>
          <w:rFonts w:ascii="Palatino Linotype" w:hAnsi="Palatino Linotype"/>
        </w:rPr>
        <w:t>Γ3 α.</w:t>
      </w:r>
      <w:r w:rsidR="00CD7143">
        <w:rPr>
          <w:rFonts w:ascii="Palatino Linotype" w:hAnsi="Palatino Linotype"/>
        </w:rPr>
        <w:tab/>
      </w:r>
      <w:r w:rsidR="00CD7143" w:rsidRPr="00CD7143">
        <w:rPr>
          <w:rFonts w:ascii="Palatino Linotype" w:hAnsi="Palatino Linotype"/>
          <w:b/>
        </w:rPr>
        <w:t>ὡς τούς πρυτάνεις</w:t>
      </w:r>
      <w:r w:rsidR="00CD7143">
        <w:rPr>
          <w:rFonts w:ascii="Palatino Linotype" w:hAnsi="Palatino Linotype"/>
        </w:rPr>
        <w:t xml:space="preserve"> : εμπρόθετος επιρρηματικός προσδιορισμός που δηλώνει κίνηση σε πρόσωπο από το ρήμα « ἧκε»</w:t>
      </w:r>
    </w:p>
    <w:p w:rsidR="00CD7143" w:rsidRDefault="00CD7143" w:rsidP="004A10BD">
      <w:pPr>
        <w:spacing w:line="276" w:lineRule="auto"/>
        <w:jc w:val="both"/>
        <w:rPr>
          <w:rFonts w:ascii="Palatino Linotype" w:hAnsi="Palatino Linotype"/>
        </w:rPr>
      </w:pPr>
      <w:r>
        <w:rPr>
          <w:rFonts w:ascii="Palatino Linotype" w:hAnsi="Palatino Linotype"/>
        </w:rPr>
        <w:tab/>
      </w:r>
      <w:r w:rsidRPr="00CD7143">
        <w:rPr>
          <w:rFonts w:ascii="Palatino Linotype" w:hAnsi="Palatino Linotype"/>
          <w:b/>
        </w:rPr>
        <w:t>δειπνοῦντες</w:t>
      </w:r>
      <w:r>
        <w:rPr>
          <w:rFonts w:ascii="Palatino Linotype" w:hAnsi="Palatino Linotype"/>
        </w:rPr>
        <w:t xml:space="preserve"> : επιρρηματική χρονική μετοχή, συνημμένη στο «οἱ μέν», ως επιρρηματικός προσδιορισμός χρόνου στη μετοχή «ἐξαναστάντες» (εκφράζει το σύγχρονο στο παρελθόν).</w:t>
      </w:r>
    </w:p>
    <w:p w:rsidR="00CD7143" w:rsidRDefault="00CD7143" w:rsidP="004A10BD">
      <w:pPr>
        <w:spacing w:line="276" w:lineRule="auto"/>
        <w:jc w:val="both"/>
        <w:rPr>
          <w:rFonts w:ascii="Palatino Linotype" w:hAnsi="Palatino Linotype"/>
        </w:rPr>
      </w:pPr>
      <w:r>
        <w:rPr>
          <w:rFonts w:ascii="Palatino Linotype" w:hAnsi="Palatino Linotype"/>
        </w:rPr>
        <w:tab/>
      </w:r>
      <w:r w:rsidRPr="00CD7143">
        <w:rPr>
          <w:rFonts w:ascii="Palatino Linotype" w:hAnsi="Palatino Linotype"/>
          <w:b/>
        </w:rPr>
        <w:t>θορύβου</w:t>
      </w:r>
      <w:r>
        <w:rPr>
          <w:rFonts w:ascii="Palatino Linotype" w:hAnsi="Palatino Linotype"/>
        </w:rPr>
        <w:t xml:space="preserve"> : γενική αντικειμενική ωε ετερόπτωτος ονοματικός προσδιορισμός στο «πλήρης».</w:t>
      </w:r>
    </w:p>
    <w:p w:rsidR="00CD7143" w:rsidRDefault="00CD7143" w:rsidP="004A10BD">
      <w:pPr>
        <w:spacing w:line="276" w:lineRule="auto"/>
        <w:jc w:val="both"/>
        <w:rPr>
          <w:rFonts w:ascii="Palatino Linotype" w:hAnsi="Palatino Linotype"/>
        </w:rPr>
      </w:pPr>
      <w:r>
        <w:rPr>
          <w:rFonts w:ascii="Palatino Linotype" w:hAnsi="Palatino Linotype"/>
        </w:rPr>
        <w:lastRenderedPageBreak/>
        <w:tab/>
      </w:r>
      <w:proofErr w:type="spellStart"/>
      <w:r w:rsidR="00E204E8" w:rsidRPr="00E204E8">
        <w:rPr>
          <w:rFonts w:ascii="Palatino Linotype" w:hAnsi="Palatino Linotype"/>
          <w:b/>
        </w:rPr>
        <w:t>τῇ</w:t>
      </w:r>
      <w:proofErr w:type="spellEnd"/>
      <w:r w:rsidR="001E0611">
        <w:rPr>
          <w:rFonts w:ascii="Palatino Linotype" w:hAnsi="Palatino Linotype"/>
          <w:b/>
        </w:rPr>
        <w:t xml:space="preserve"> </w:t>
      </w:r>
      <w:proofErr w:type="spellStart"/>
      <w:r w:rsidR="00E204E8" w:rsidRPr="00E204E8">
        <w:rPr>
          <w:rFonts w:ascii="Palatino Linotype" w:hAnsi="Palatino Linotype"/>
          <w:b/>
        </w:rPr>
        <w:t>ἡμέρᾳ</w:t>
      </w:r>
      <w:proofErr w:type="spellEnd"/>
      <w:r w:rsidR="00E204E8">
        <w:rPr>
          <w:rFonts w:ascii="Palatino Linotype" w:hAnsi="Palatino Linotype"/>
        </w:rPr>
        <w:t xml:space="preserve"> : δοτική αντικειμενική στο επίρρημα «ἅμα»</w:t>
      </w:r>
      <w:r w:rsidR="00F62861">
        <w:rPr>
          <w:rFonts w:ascii="Palatino Linotype" w:hAnsi="Palatino Linotype"/>
        </w:rPr>
        <w:t>.</w:t>
      </w:r>
    </w:p>
    <w:p w:rsidR="00E204E8" w:rsidRDefault="00E204E8" w:rsidP="004A10BD">
      <w:pPr>
        <w:spacing w:line="276" w:lineRule="auto"/>
        <w:jc w:val="both"/>
        <w:rPr>
          <w:rFonts w:ascii="Palatino Linotype" w:hAnsi="Palatino Linotype"/>
        </w:rPr>
      </w:pPr>
      <w:r>
        <w:rPr>
          <w:rFonts w:ascii="Palatino Linotype" w:hAnsi="Palatino Linotype"/>
        </w:rPr>
        <w:tab/>
      </w:r>
      <w:r w:rsidRPr="00E204E8">
        <w:rPr>
          <w:rFonts w:ascii="Palatino Linotype" w:hAnsi="Palatino Linotype"/>
          <w:b/>
        </w:rPr>
        <w:t>ἐκείνην</w:t>
      </w:r>
      <w:r>
        <w:rPr>
          <w:rFonts w:ascii="Palatino Linotype" w:hAnsi="Palatino Linotype"/>
        </w:rPr>
        <w:t xml:space="preserve"> : υποκείμενο στα απαρέμφατα « χρηματίσαι καί προβουλεῦσαι».</w:t>
      </w:r>
    </w:p>
    <w:p w:rsidR="00E204E8" w:rsidRDefault="00E204E8" w:rsidP="004A10BD">
      <w:pPr>
        <w:spacing w:line="276" w:lineRule="auto"/>
        <w:jc w:val="both"/>
        <w:rPr>
          <w:rFonts w:ascii="Palatino Linotype" w:hAnsi="Palatino Linotype"/>
        </w:rPr>
      </w:pPr>
    </w:p>
    <w:p w:rsidR="00E204E8" w:rsidRDefault="00E204E8" w:rsidP="004A10BD">
      <w:pPr>
        <w:spacing w:line="276" w:lineRule="auto"/>
        <w:jc w:val="both"/>
        <w:rPr>
          <w:rFonts w:ascii="Palatino Linotype" w:hAnsi="Palatino Linotype"/>
        </w:rPr>
      </w:pPr>
      <w:r>
        <w:rPr>
          <w:rFonts w:ascii="Palatino Linotype" w:hAnsi="Palatino Linotype"/>
        </w:rPr>
        <w:t xml:space="preserve">Γ3 β. </w:t>
      </w:r>
      <w:r w:rsidR="00A46D1E">
        <w:rPr>
          <w:rFonts w:ascii="Palatino Linotype" w:hAnsi="Palatino Linotype"/>
        </w:rPr>
        <w:t>Η ειδική ονοματική πρόταση συμπτύσσεται σε κατηγορηματική μετοχή, εξαρτώμενη από τη μετοχή «ἀγγέλων»:</w:t>
      </w:r>
    </w:p>
    <w:p w:rsidR="00A46D1E" w:rsidRDefault="00A46D1E" w:rsidP="004A10BD">
      <w:pPr>
        <w:spacing w:line="276" w:lineRule="auto"/>
        <w:jc w:val="both"/>
        <w:rPr>
          <w:rFonts w:ascii="Palatino Linotype" w:hAnsi="Palatino Linotype"/>
        </w:rPr>
      </w:pPr>
      <w:r>
        <w:rPr>
          <w:rFonts w:ascii="Palatino Linotype" w:hAnsi="Palatino Linotype"/>
        </w:rPr>
        <w:tab/>
        <w:t>«Ἐλάτειαν κατειλημμένην».</w:t>
      </w:r>
    </w:p>
    <w:p w:rsidR="00A46D1E" w:rsidRDefault="00A46D1E" w:rsidP="004A10BD">
      <w:pPr>
        <w:spacing w:line="276" w:lineRule="auto"/>
        <w:jc w:val="both"/>
        <w:rPr>
          <w:rFonts w:ascii="Palatino Linotype" w:hAnsi="Palatino Linotype"/>
        </w:rPr>
      </w:pPr>
    </w:p>
    <w:p w:rsidR="00A46D1E" w:rsidRDefault="00A46D1E" w:rsidP="004A10BD">
      <w:pPr>
        <w:spacing w:line="276" w:lineRule="auto"/>
        <w:jc w:val="both"/>
        <w:rPr>
          <w:rFonts w:ascii="Palatino Linotype" w:hAnsi="Palatino Linotype"/>
        </w:rPr>
      </w:pPr>
      <w:r>
        <w:rPr>
          <w:rFonts w:ascii="Palatino Linotype" w:hAnsi="Palatino Linotype"/>
        </w:rPr>
        <w:t>Γ3 γ. Η κύρια πρόταση του ευθέος λόγου « ὑμεῖς εἰς τήν ἐκκλησίαν ἐπορεύεσθε» μετατρέπεται σε ειδικό απαρέμφατο ενεστώτα:</w:t>
      </w:r>
    </w:p>
    <w:p w:rsidR="00DF6A9E" w:rsidRDefault="00DF6A9E" w:rsidP="004A10BD">
      <w:pPr>
        <w:spacing w:line="276" w:lineRule="auto"/>
        <w:jc w:val="both"/>
        <w:rPr>
          <w:rFonts w:ascii="Palatino Linotype" w:hAnsi="Palatino Linotype"/>
        </w:rPr>
      </w:pPr>
    </w:p>
    <w:p w:rsidR="00A46D1E" w:rsidRDefault="00A46D1E" w:rsidP="004A10BD">
      <w:pPr>
        <w:spacing w:line="276" w:lineRule="auto"/>
        <w:jc w:val="both"/>
        <w:rPr>
          <w:rFonts w:ascii="Palatino Linotype" w:hAnsi="Palatino Linotype"/>
        </w:rPr>
      </w:pPr>
      <w:r>
        <w:rPr>
          <w:rFonts w:ascii="Palatino Linotype" w:hAnsi="Palatino Linotype"/>
        </w:rPr>
        <w:t>«Δημοσθένης φησί τούτους εἰς τήν ἐκκλησίαν πορεύεσθαι»</w:t>
      </w:r>
    </w:p>
    <w:p w:rsidR="00DF6A9E" w:rsidRDefault="00DF6A9E" w:rsidP="004A10BD">
      <w:pPr>
        <w:spacing w:line="276" w:lineRule="auto"/>
        <w:jc w:val="both"/>
        <w:rPr>
          <w:rFonts w:ascii="Palatino Linotype" w:hAnsi="Palatino Linotype"/>
        </w:rPr>
      </w:pPr>
    </w:p>
    <w:p w:rsidR="00DF6A9E" w:rsidRDefault="00DF6A9E" w:rsidP="004A10BD">
      <w:pPr>
        <w:spacing w:line="276" w:lineRule="auto"/>
        <w:jc w:val="both"/>
        <w:rPr>
          <w:rFonts w:ascii="Palatino Linotype" w:hAnsi="Palatino Linotype"/>
        </w:rPr>
      </w:pPr>
      <w:r>
        <w:rPr>
          <w:rFonts w:ascii="Palatino Linotype" w:hAnsi="Palatino Linotype"/>
        </w:rPr>
        <w:t>Η κύρια ερωτηματική πρόταση του ευθέος λόγου «τίς ἀγορεύειν βούλεται;» μετατρέπεται σε πλάγια ερωτηματική πρόταση που θα εκφέρεται με ευκτική πλαγίου λόγου, εξαρτώμενη από τον ιστορικό χρόνο «ἠρώτα»:</w:t>
      </w:r>
    </w:p>
    <w:p w:rsidR="00DF6A9E" w:rsidRDefault="00DF6A9E" w:rsidP="004A10BD">
      <w:pPr>
        <w:spacing w:line="276" w:lineRule="auto"/>
        <w:jc w:val="both"/>
        <w:rPr>
          <w:rFonts w:ascii="Palatino Linotype" w:hAnsi="Palatino Linotype"/>
        </w:rPr>
      </w:pPr>
    </w:p>
    <w:p w:rsidR="00525A5B" w:rsidRDefault="00DF6A9E" w:rsidP="004A10BD">
      <w:pPr>
        <w:spacing w:line="276" w:lineRule="auto"/>
        <w:jc w:val="both"/>
        <w:rPr>
          <w:rFonts w:ascii="Palatino Linotype" w:hAnsi="Palatino Linotype"/>
        </w:rPr>
      </w:pPr>
      <w:r>
        <w:rPr>
          <w:rFonts w:ascii="Palatino Linotype" w:hAnsi="Palatino Linotype"/>
        </w:rPr>
        <w:t xml:space="preserve">«Ὁ κῆρυξ </w:t>
      </w:r>
      <w:proofErr w:type="spellStart"/>
      <w:r>
        <w:rPr>
          <w:rFonts w:ascii="Palatino Linotype" w:hAnsi="Palatino Linotype"/>
        </w:rPr>
        <w:t>ἠρώτα</w:t>
      </w:r>
      <w:proofErr w:type="spellEnd"/>
      <w:r>
        <w:rPr>
          <w:rFonts w:ascii="Palatino Linotype" w:hAnsi="Palatino Linotype"/>
        </w:rPr>
        <w:t xml:space="preserve"> τίς (</w:t>
      </w:r>
      <w:proofErr w:type="spellStart"/>
      <w:r>
        <w:rPr>
          <w:rFonts w:ascii="Palatino Linotype" w:hAnsi="Palatino Linotype"/>
        </w:rPr>
        <w:t>ὃστις</w:t>
      </w:r>
      <w:proofErr w:type="spellEnd"/>
      <w:r>
        <w:rPr>
          <w:rFonts w:ascii="Palatino Linotype" w:hAnsi="Palatino Linotype"/>
        </w:rPr>
        <w:t xml:space="preserve">) </w:t>
      </w:r>
      <w:proofErr w:type="spellStart"/>
      <w:r>
        <w:rPr>
          <w:rFonts w:ascii="Palatino Linotype" w:hAnsi="Palatino Linotype"/>
        </w:rPr>
        <w:t>ἀγορεύειν</w:t>
      </w:r>
      <w:proofErr w:type="spellEnd"/>
      <w:r>
        <w:rPr>
          <w:rFonts w:ascii="Palatino Linotype" w:hAnsi="Palatino Linotype"/>
        </w:rPr>
        <w:t xml:space="preserve"> </w:t>
      </w:r>
      <w:proofErr w:type="spellStart"/>
      <w:r>
        <w:rPr>
          <w:rFonts w:ascii="Palatino Linotype" w:hAnsi="Palatino Linotype"/>
        </w:rPr>
        <w:t>βούλοιτο</w:t>
      </w:r>
      <w:proofErr w:type="spellEnd"/>
      <w:r>
        <w:rPr>
          <w:rFonts w:ascii="Palatino Linotype" w:hAnsi="Palatino Linotype"/>
        </w:rPr>
        <w:t>».</w:t>
      </w:r>
    </w:p>
    <w:p w:rsidR="00525A5B" w:rsidRDefault="00525A5B" w:rsidP="004A10BD">
      <w:pPr>
        <w:spacing w:line="276" w:lineRule="auto"/>
        <w:jc w:val="both"/>
        <w:rPr>
          <w:rFonts w:ascii="Palatino Linotype" w:hAnsi="Palatino Linotype"/>
        </w:rPr>
      </w:pPr>
    </w:p>
    <w:p w:rsidR="00525A5B" w:rsidRDefault="00525A5B" w:rsidP="004A10BD">
      <w:pPr>
        <w:spacing w:line="276" w:lineRule="auto"/>
        <w:jc w:val="both"/>
        <w:rPr>
          <w:rFonts w:ascii="Palatino Linotype" w:hAnsi="Palatino Linotype"/>
        </w:rPr>
      </w:pPr>
    </w:p>
    <w:p w:rsidR="00525A5B" w:rsidRDefault="00525A5B" w:rsidP="004A10BD">
      <w:pPr>
        <w:spacing w:line="276" w:lineRule="auto"/>
        <w:jc w:val="both"/>
        <w:rPr>
          <w:rFonts w:ascii="Palatino Linotype" w:hAnsi="Palatino Linotype"/>
        </w:rPr>
      </w:pPr>
    </w:p>
    <w:p w:rsidR="0030603C" w:rsidRDefault="0030603C" w:rsidP="004A10BD">
      <w:pPr>
        <w:spacing w:line="276" w:lineRule="auto"/>
        <w:jc w:val="both"/>
        <w:rPr>
          <w:rFonts w:ascii="Palatino Linotype" w:hAnsi="Palatino Linotype"/>
        </w:rPr>
      </w:pPr>
    </w:p>
    <w:p w:rsidR="0030603C" w:rsidRDefault="0030603C" w:rsidP="004A10BD">
      <w:pPr>
        <w:spacing w:line="276" w:lineRule="auto"/>
        <w:jc w:val="both"/>
        <w:rPr>
          <w:rFonts w:ascii="Palatino Linotype" w:hAnsi="Palatino Linotype"/>
        </w:rPr>
      </w:pPr>
      <w:bookmarkStart w:id="0" w:name="_GoBack"/>
      <w:bookmarkEnd w:id="0"/>
    </w:p>
    <w:p w:rsidR="00525A5B" w:rsidRPr="00716921" w:rsidRDefault="00525A5B" w:rsidP="00525A5B">
      <w:pPr>
        <w:jc w:val="center"/>
        <w:rPr>
          <w:rFonts w:ascii="Palatino Linotype" w:hAnsi="Palatino Linotype"/>
          <w:b/>
          <w:u w:val="single"/>
        </w:rPr>
      </w:pPr>
      <w:r w:rsidRPr="00716921">
        <w:rPr>
          <w:rFonts w:ascii="Palatino Linotype" w:hAnsi="Palatino Linotype"/>
          <w:b/>
          <w:u w:val="single"/>
        </w:rPr>
        <w:t>ΑΡΧΑΙΑ ΔΙΔΑΓΜΕΝΟ Γ΄ΛΥΚΕΙΟΥ</w:t>
      </w:r>
    </w:p>
    <w:p w:rsidR="00525A5B" w:rsidRDefault="00525A5B" w:rsidP="00525A5B">
      <w:pPr>
        <w:jc w:val="center"/>
        <w:rPr>
          <w:rFonts w:ascii="Palatino Linotype" w:hAnsi="Palatino Linotype"/>
          <w:b/>
          <w:u w:val="single"/>
        </w:rPr>
      </w:pPr>
      <w:r w:rsidRPr="00716921">
        <w:rPr>
          <w:rFonts w:ascii="Palatino Linotype" w:hAnsi="Palatino Linotype"/>
          <w:b/>
          <w:u w:val="single"/>
        </w:rPr>
        <w:t>ΑΠΑΝΤΗΣΕΙΣ</w:t>
      </w:r>
    </w:p>
    <w:p w:rsidR="00525A5B" w:rsidRPr="00716921" w:rsidRDefault="00525A5B" w:rsidP="00525A5B">
      <w:pPr>
        <w:jc w:val="center"/>
        <w:rPr>
          <w:rFonts w:ascii="Palatino Linotype" w:hAnsi="Palatino Linotype"/>
          <w:b/>
          <w:u w:val="single"/>
        </w:rPr>
      </w:pPr>
    </w:p>
    <w:p w:rsidR="00525A5B" w:rsidRDefault="00525A5B" w:rsidP="00525A5B">
      <w:pPr>
        <w:jc w:val="both"/>
        <w:rPr>
          <w:rFonts w:ascii="Palatino Linotype" w:hAnsi="Palatino Linotype"/>
        </w:rPr>
      </w:pPr>
      <w:r>
        <w:rPr>
          <w:rFonts w:ascii="Palatino Linotype" w:hAnsi="Palatino Linotype"/>
        </w:rPr>
        <w:t>Α. Η μετάφραση βρίσκεται στο βιβλίο του νέου φροντιστηρίου, ενότητα 20 Πολιτικών Αριστοτέλη.</w:t>
      </w:r>
    </w:p>
    <w:p w:rsidR="00525A5B" w:rsidRDefault="00525A5B" w:rsidP="00525A5B">
      <w:pPr>
        <w:jc w:val="both"/>
        <w:rPr>
          <w:rFonts w:ascii="Palatino Linotype" w:hAnsi="Palatino Linotype"/>
        </w:rPr>
      </w:pPr>
    </w:p>
    <w:p w:rsidR="00525A5B" w:rsidRDefault="00525A5B" w:rsidP="00525A5B">
      <w:pPr>
        <w:jc w:val="both"/>
        <w:rPr>
          <w:rFonts w:ascii="Palatino Linotype" w:hAnsi="Palatino Linotype"/>
        </w:rPr>
      </w:pPr>
      <w:r>
        <w:rPr>
          <w:rFonts w:ascii="Palatino Linotype" w:hAnsi="Palatino Linotype"/>
        </w:rPr>
        <w:t>Β1. Ο Αριστοτέλης διαπιστώνει ότι στην εποχή του δεν συμβαδίζουν οι απόψεις σχετικά με το περιεχόμενο και το είδος των μαθημάτων που θα περιλαμβάνει το εκπαιδευτικό πρόγραμμα.</w:t>
      </w:r>
    </w:p>
    <w:p w:rsidR="00525A5B" w:rsidRDefault="00525A5B" w:rsidP="00525A5B">
      <w:pPr>
        <w:jc w:val="both"/>
        <w:rPr>
          <w:rFonts w:ascii="Palatino Linotype" w:hAnsi="Palatino Linotype"/>
        </w:rPr>
      </w:pPr>
      <w:r>
        <w:rPr>
          <w:rFonts w:ascii="Palatino Linotype" w:hAnsi="Palatino Linotype"/>
        </w:rPr>
        <w:t xml:space="preserve">        Η διαφωνία αφορούσε κυρίως στο τι πρέπει να μαθαίνουν οι νέοι για να γίνουν ενάρετοι(προς τη </w:t>
      </w:r>
      <w:proofErr w:type="spellStart"/>
      <w:r>
        <w:rPr>
          <w:rFonts w:ascii="Palatino Linotype" w:hAnsi="Palatino Linotype"/>
        </w:rPr>
        <w:t>αρετήν</w:t>
      </w:r>
      <w:proofErr w:type="spellEnd"/>
      <w:r>
        <w:rPr>
          <w:rFonts w:ascii="Palatino Linotype" w:hAnsi="Palatino Linotype"/>
        </w:rPr>
        <w:t xml:space="preserve">) αλλά και για να κατακτήσουν στη συνέχει την ευδαιμονία(τον άριστον </w:t>
      </w:r>
      <w:proofErr w:type="spellStart"/>
      <w:r>
        <w:rPr>
          <w:rFonts w:ascii="Palatino Linotype" w:hAnsi="Palatino Linotype"/>
        </w:rPr>
        <w:t>βίον</w:t>
      </w:r>
      <w:proofErr w:type="spellEnd"/>
      <w:r>
        <w:rPr>
          <w:rFonts w:ascii="Palatino Linotype" w:hAnsi="Palatino Linotype"/>
        </w:rPr>
        <w:t>).</w:t>
      </w:r>
      <w:r w:rsidRPr="00B618DD">
        <w:rPr>
          <w:rFonts w:ascii="Palatino Linotype" w:hAnsi="Palatino Linotype"/>
        </w:rPr>
        <w:t xml:space="preserve"> </w:t>
      </w:r>
      <w:r>
        <w:rPr>
          <w:rFonts w:ascii="Palatino Linotype" w:hAnsi="Palatino Linotype"/>
        </w:rPr>
        <w:t xml:space="preserve">Μάλιστα αρχικά, ξετυλίγοντας τον προβληματισμό του, τονίζει ότι πρέπει να προσέξουμε ιδιαίτερα ποιος θα είναι ο χαρακτήρας , το στίγμα της παιδείας και πώς πρέπει να εκπαιδεύονται οι νέοι(τις </w:t>
      </w:r>
      <w:proofErr w:type="spellStart"/>
      <w:r>
        <w:rPr>
          <w:rFonts w:ascii="Palatino Linotype" w:hAnsi="Palatino Linotype"/>
        </w:rPr>
        <w:t>δ΄έσται</w:t>
      </w:r>
      <w:proofErr w:type="spellEnd"/>
      <w:r>
        <w:rPr>
          <w:rFonts w:ascii="Palatino Linotype" w:hAnsi="Palatino Linotype"/>
        </w:rPr>
        <w:t xml:space="preserve"> η παιδεία και  πως </w:t>
      </w:r>
      <w:proofErr w:type="spellStart"/>
      <w:r>
        <w:rPr>
          <w:rFonts w:ascii="Palatino Linotype" w:hAnsi="Palatino Linotype"/>
        </w:rPr>
        <w:t>χρή</w:t>
      </w:r>
      <w:proofErr w:type="spellEnd"/>
      <w:r>
        <w:rPr>
          <w:rFonts w:ascii="Palatino Linotype" w:hAnsi="Palatino Linotype"/>
        </w:rPr>
        <w:t xml:space="preserve"> </w:t>
      </w:r>
      <w:proofErr w:type="spellStart"/>
      <w:r>
        <w:rPr>
          <w:rFonts w:ascii="Palatino Linotype" w:hAnsi="Palatino Linotype"/>
        </w:rPr>
        <w:t>παιδεύεσθαι</w:t>
      </w:r>
      <w:proofErr w:type="spellEnd"/>
      <w:r>
        <w:rPr>
          <w:rFonts w:ascii="Palatino Linotype" w:hAnsi="Palatino Linotype"/>
        </w:rPr>
        <w:t>)</w:t>
      </w:r>
    </w:p>
    <w:p w:rsidR="00525A5B" w:rsidRDefault="00525A5B" w:rsidP="00525A5B">
      <w:pPr>
        <w:jc w:val="both"/>
        <w:rPr>
          <w:rFonts w:ascii="Palatino Linotype" w:hAnsi="Palatino Linotype"/>
        </w:rPr>
      </w:pPr>
      <w:r>
        <w:rPr>
          <w:rFonts w:ascii="Palatino Linotype" w:hAnsi="Palatino Linotype"/>
        </w:rPr>
        <w:lastRenderedPageBreak/>
        <w:t xml:space="preserve">          Όμως διακρίνει ότι δεν υπάρχει ομοφωνία  ακόμα και σχετικά με τους στόχους της παιδείας. Υπάρχουν κάποιοι που υποστηρίζουν ότι πρέπει να προσφέρει γνώσεις πρακτικής υφής προκειμένου οι άνθρωποι να καλύπτουν τις καθημερινές τους ανάγκες(τα χρήσιμα προς τον </w:t>
      </w:r>
      <w:proofErr w:type="spellStart"/>
      <w:r>
        <w:rPr>
          <w:rFonts w:ascii="Palatino Linotype" w:hAnsi="Palatino Linotype"/>
        </w:rPr>
        <w:t>βίον</w:t>
      </w:r>
      <w:proofErr w:type="spellEnd"/>
      <w:r>
        <w:rPr>
          <w:rFonts w:ascii="Palatino Linotype" w:hAnsi="Palatino Linotype"/>
        </w:rPr>
        <w:t xml:space="preserve">). Άλλοι υποστηρίζουν ότι πρέπει να έχει </w:t>
      </w:r>
      <w:proofErr w:type="spellStart"/>
      <w:r>
        <w:rPr>
          <w:rFonts w:ascii="Palatino Linotype" w:hAnsi="Palatino Linotype"/>
        </w:rPr>
        <w:t>γνωσιοκεντρικό</w:t>
      </w:r>
      <w:proofErr w:type="spellEnd"/>
      <w:r>
        <w:rPr>
          <w:rFonts w:ascii="Palatino Linotype" w:hAnsi="Palatino Linotype"/>
        </w:rPr>
        <w:t xml:space="preserve"> προσανατολισμό και να προάγει τη γνώση και το πνεύμα του ανθρώπου(τα περιττά) ενώ ταυτόχρονα έντονα προβάλλεται και ο ηθικοπλαστικός ρόλος της, η διαμόρφωση δηλαδή ηθικής και ενάρετης προσωπικότητας στον κάθε πολίτη(τα τείνοντα προς </w:t>
      </w:r>
      <w:proofErr w:type="spellStart"/>
      <w:r>
        <w:rPr>
          <w:rFonts w:ascii="Palatino Linotype" w:hAnsi="Palatino Linotype"/>
        </w:rPr>
        <w:t>αρετήν</w:t>
      </w:r>
      <w:proofErr w:type="spellEnd"/>
      <w:r>
        <w:rPr>
          <w:rFonts w:ascii="Palatino Linotype" w:hAnsi="Palatino Linotype"/>
        </w:rPr>
        <w:t>).</w:t>
      </w:r>
    </w:p>
    <w:p w:rsidR="00525A5B" w:rsidRDefault="00525A5B" w:rsidP="00525A5B">
      <w:pPr>
        <w:jc w:val="both"/>
        <w:rPr>
          <w:rFonts w:ascii="Palatino Linotype" w:hAnsi="Palatino Linotype"/>
        </w:rPr>
      </w:pPr>
      <w:r>
        <w:rPr>
          <w:rFonts w:ascii="Palatino Linotype" w:hAnsi="Palatino Linotype"/>
        </w:rPr>
        <w:t xml:space="preserve">           Η βασική αιτία κατά τον φιλόσοφο στην οποία οφείλονται όλες  αυτές οι διαφοροποιήσεις είναι η διαφωνία που υπάρχει όσον αφορά τις αρετές. Ενώ η </w:t>
      </w:r>
      <w:r w:rsidRPr="00716921">
        <w:rPr>
          <w:rFonts w:ascii="Palatino Linotype" w:hAnsi="Palatino Linotype"/>
        </w:rPr>
        <w:t>αθηνα</w:t>
      </w:r>
      <w:r>
        <w:rPr>
          <w:rFonts w:ascii="Palatino Linotype" w:hAnsi="Palatino Linotype"/>
        </w:rPr>
        <w:t>ϊ</w:t>
      </w:r>
      <w:r w:rsidRPr="00716921">
        <w:rPr>
          <w:rFonts w:ascii="Palatino Linotype" w:hAnsi="Palatino Linotype"/>
        </w:rPr>
        <w:t>κή</w:t>
      </w:r>
      <w:r>
        <w:rPr>
          <w:rFonts w:ascii="Palatino Linotype" w:hAnsi="Palatino Linotype"/>
        </w:rPr>
        <w:t xml:space="preserve"> κοινωνία δηλαδή δείχνει ότι περιβάλλεται από ένα ένδυμα ηθικής και αρετών, ουσιαστικά δε ασπάζονται όλοι τις ίδιες αρετές, δεν έχουν τα ίδια κριτήρια επιλογής τους ούτε τις αποδέχονται με το ίδιο νόημα ή περιεχόμενο αλλά μάλλον τα κριτήρια τους είναι ιδιοτελή. Αφού λοιπόν διαφωνούν στις αρετές, μοιραία αυτή η στάση </w:t>
      </w:r>
      <w:proofErr w:type="spellStart"/>
      <w:r>
        <w:rPr>
          <w:rFonts w:ascii="Palatino Linotype" w:hAnsi="Palatino Linotype"/>
        </w:rPr>
        <w:t>μετακυλύεται</w:t>
      </w:r>
      <w:proofErr w:type="spellEnd"/>
      <w:r>
        <w:rPr>
          <w:rFonts w:ascii="Palatino Linotype" w:hAnsi="Palatino Linotype"/>
        </w:rPr>
        <w:t xml:space="preserve"> – εκπαίδευση που αποτελεί το όχημα απόκτησης των αρετών. Επομένως οι διαφορετικές απόψεις στην παιδεία οφείλονται κυρίως στη διαφωνία των Αθηναίων όσον αφορά τις αρετές.</w:t>
      </w:r>
    </w:p>
    <w:p w:rsidR="00525A5B" w:rsidRDefault="00525A5B" w:rsidP="00525A5B">
      <w:pPr>
        <w:jc w:val="both"/>
        <w:rPr>
          <w:rFonts w:ascii="Palatino Linotype" w:hAnsi="Palatino Linotype"/>
        </w:rPr>
      </w:pPr>
    </w:p>
    <w:p w:rsidR="00525A5B" w:rsidRDefault="00525A5B" w:rsidP="00525A5B">
      <w:pPr>
        <w:jc w:val="both"/>
        <w:rPr>
          <w:rFonts w:ascii="Palatino Linotype" w:hAnsi="Palatino Linotype"/>
        </w:rPr>
      </w:pPr>
      <w:r>
        <w:rPr>
          <w:rFonts w:ascii="Palatino Linotype" w:hAnsi="Palatino Linotype"/>
        </w:rPr>
        <w:t>Β2. Απέναντι στις διαφωνίες που εμφανίζονται στην εποχή του όσον αφορά τους στόχους που πρέπει να επιδιώξει και να πετύχει η παιδεία, ο Αριστοτέλης ακολουθεί μια μέση οδό έχοντας ως βάση τον ηθικοπλαστικό προσανατολισμό ολόκληρου του εκπαιδευτικού συστήματος.</w:t>
      </w:r>
    </w:p>
    <w:p w:rsidR="00525A5B" w:rsidRDefault="00525A5B" w:rsidP="00525A5B">
      <w:pPr>
        <w:jc w:val="both"/>
        <w:rPr>
          <w:rFonts w:ascii="Palatino Linotype" w:hAnsi="Palatino Linotype"/>
        </w:rPr>
      </w:pPr>
      <w:r>
        <w:rPr>
          <w:rFonts w:ascii="Palatino Linotype" w:hAnsi="Palatino Linotype"/>
        </w:rPr>
        <w:t xml:space="preserve">         Τονίζει ότι δεν πρέπει να </w:t>
      </w:r>
      <w:proofErr w:type="spellStart"/>
      <w:r>
        <w:rPr>
          <w:rFonts w:ascii="Palatino Linotype" w:hAnsi="Palatino Linotype"/>
        </w:rPr>
        <w:t>παραμελούνται</w:t>
      </w:r>
      <w:proofErr w:type="spellEnd"/>
      <w:r>
        <w:rPr>
          <w:rFonts w:ascii="Palatino Linotype" w:hAnsi="Palatino Linotype"/>
        </w:rPr>
        <w:t xml:space="preserve"> τα χρήσιμα, όμως από αυτά πρέπει να διδάσκονται τα πιο απαραίτητα. Ανάγνωση, γραφή, αριθμητική, γεωμετρία και σχέδιο είναι οι γνώσεις που χρειάζεται ο καθένας στις καθημερινές τους δραστηριότητες. Επίσης δεν είναι σωστό να αμελούνται οι γνώσεις εκείνες που προσδίδουν μια γενικότερη θεωρητική κατάρτιση στον άνθρωπο και προάγουν τη γνώση του. Ο κυρίαρχος όμως άξονας πάνω στον οποίο πρέπει να κινηθεί η πορεία της εκπαίδευσης είναι η ηθικοποίηση των ανθρώπων. Θα πρέπει δηλαδή να προσφερθούν οι γνώσεις εκείνες που θα καταστήσουν το σώμα αλλά και το νου καθενός ικανά για να προσεγγίσουν την αρετή αλλά και να την εκδηλώνουν οι πολίτες στις καθημερινές τους δραστηριότητες.</w:t>
      </w:r>
    </w:p>
    <w:p w:rsidR="00525A5B" w:rsidRDefault="00525A5B" w:rsidP="00525A5B">
      <w:pPr>
        <w:jc w:val="both"/>
        <w:rPr>
          <w:rFonts w:ascii="Palatino Linotype" w:hAnsi="Palatino Linotype"/>
        </w:rPr>
      </w:pPr>
    </w:p>
    <w:p w:rsidR="00525A5B" w:rsidRDefault="00525A5B" w:rsidP="00525A5B">
      <w:pPr>
        <w:jc w:val="both"/>
        <w:rPr>
          <w:rFonts w:ascii="Palatino Linotype" w:hAnsi="Palatino Linotype"/>
        </w:rPr>
      </w:pPr>
      <w:r>
        <w:rPr>
          <w:rFonts w:ascii="Palatino Linotype" w:hAnsi="Palatino Linotype"/>
        </w:rPr>
        <w:t>Β3. Οι φράσεις ‘’</w:t>
      </w:r>
      <w:proofErr w:type="spellStart"/>
      <w:r>
        <w:rPr>
          <w:rFonts w:ascii="Palatino Linotype" w:hAnsi="Palatino Linotype"/>
        </w:rPr>
        <w:t>νομοθετητέον</w:t>
      </w:r>
      <w:proofErr w:type="spellEnd"/>
      <w:r>
        <w:rPr>
          <w:rFonts w:ascii="Palatino Linotype" w:hAnsi="Palatino Linotype"/>
        </w:rPr>
        <w:t xml:space="preserve"> περί παιδείας’’ και ‘’</w:t>
      </w:r>
      <w:proofErr w:type="spellStart"/>
      <w:r>
        <w:rPr>
          <w:rFonts w:ascii="Palatino Linotype" w:hAnsi="Palatino Linotype"/>
        </w:rPr>
        <w:t>ποητέον</w:t>
      </w:r>
      <w:proofErr w:type="spellEnd"/>
      <w:r>
        <w:rPr>
          <w:rFonts w:ascii="Palatino Linotype" w:hAnsi="Palatino Linotype"/>
        </w:rPr>
        <w:t xml:space="preserve"> ταύτην </w:t>
      </w:r>
      <w:proofErr w:type="spellStart"/>
      <w:r>
        <w:rPr>
          <w:rFonts w:ascii="Palatino Linotype" w:hAnsi="Palatino Linotype"/>
        </w:rPr>
        <w:t>κοινήν</w:t>
      </w:r>
      <w:proofErr w:type="spellEnd"/>
      <w:r>
        <w:rPr>
          <w:rFonts w:ascii="Palatino Linotype" w:hAnsi="Palatino Linotype"/>
        </w:rPr>
        <w:t>’’ φανερώνουν τη φανερή πεποίθηση του Αριστοτέλη ότι η παιδεία πρέπει να καθορίζεται από το κράτος και να περιβάλλεται από τη μέριμνα του νομοθέτη της πολιτείας ο οποίος με αμείωτη ένταση θα περιφρουρεί το χαρακτήρα και τη μορφή της.</w:t>
      </w:r>
    </w:p>
    <w:p w:rsidR="00525A5B" w:rsidRDefault="00525A5B" w:rsidP="00525A5B">
      <w:pPr>
        <w:jc w:val="both"/>
        <w:rPr>
          <w:rFonts w:ascii="Palatino Linotype" w:hAnsi="Palatino Linotype"/>
        </w:rPr>
      </w:pPr>
      <w:r>
        <w:rPr>
          <w:rFonts w:ascii="Palatino Linotype" w:hAnsi="Palatino Linotype"/>
        </w:rPr>
        <w:t xml:space="preserve">         Αυτό σημαίνει </w:t>
      </w:r>
      <w:proofErr w:type="spellStart"/>
      <w:r>
        <w:rPr>
          <w:rFonts w:ascii="Palatino Linotype" w:hAnsi="Palatino Linotype"/>
        </w:rPr>
        <w:t>οτι</w:t>
      </w:r>
      <w:proofErr w:type="spellEnd"/>
      <w:r>
        <w:rPr>
          <w:rFonts w:ascii="Palatino Linotype" w:hAnsi="Palatino Linotype"/>
        </w:rPr>
        <w:t xml:space="preserve"> η εκπαίδευση θα αφορά όλους τους πολίτες και θα προνοεί για τη διαμόρφωση τέτοιας προσωπικότητας σε όλους ώστε οι </w:t>
      </w:r>
      <w:r>
        <w:rPr>
          <w:rFonts w:ascii="Palatino Linotype" w:hAnsi="Palatino Linotype"/>
        </w:rPr>
        <w:lastRenderedPageBreak/>
        <w:t>πολίτες και σε ατομικό επίπεδο να είναι ολοκληρωμένοι και σε συλλογικό να συμβάλλουν στην επίτευξη του κοινού στόχου που είναι η ευρυθμία ,η ευνομία και η ευδαιμονία της πόλεως-κράτους. Βλέπουμε δηλαδή ότι ο Αριστοτέλης αντιμάχεται τον ιδιωτικό χαρακτήρα της παιδείας και είναι υπέρμαχος ενός εκπαιδευτικού συστήματος που θα προσιδιάζει με εκείνο των Λακεδαιμονίων.</w:t>
      </w:r>
    </w:p>
    <w:p w:rsidR="00525A5B" w:rsidRDefault="00525A5B" w:rsidP="00525A5B">
      <w:pPr>
        <w:jc w:val="both"/>
        <w:rPr>
          <w:rFonts w:ascii="Palatino Linotype" w:hAnsi="Palatino Linotype"/>
        </w:rPr>
      </w:pPr>
      <w:r>
        <w:rPr>
          <w:rFonts w:ascii="Palatino Linotype" w:hAnsi="Palatino Linotype"/>
        </w:rPr>
        <w:t xml:space="preserve">          Για να αιτιολογήσουν οι μαθητές την υποστήριξη αυτής της άποψης από τον Αριστοτέλη πρέπει να αναφερθούν στο σχόλιο ‘’περί παιδείας’’ από το σχολικό βιβλίο ,ενότητα 20(Πολιτικών).</w:t>
      </w:r>
    </w:p>
    <w:p w:rsidR="00525A5B" w:rsidRDefault="00525A5B" w:rsidP="00525A5B">
      <w:pPr>
        <w:jc w:val="both"/>
        <w:rPr>
          <w:rFonts w:ascii="Palatino Linotype" w:hAnsi="Palatino Linotype"/>
        </w:rPr>
      </w:pPr>
    </w:p>
    <w:p w:rsidR="00525A5B" w:rsidRDefault="00525A5B" w:rsidP="00525A5B">
      <w:pPr>
        <w:jc w:val="both"/>
        <w:rPr>
          <w:rFonts w:ascii="Palatino Linotype" w:hAnsi="Palatino Linotype"/>
        </w:rPr>
      </w:pPr>
      <w:r>
        <w:rPr>
          <w:rFonts w:ascii="Palatino Linotype" w:hAnsi="Palatino Linotype"/>
        </w:rPr>
        <w:t>Β4. Εισαγωγή Πολιτικών σχολικού βιβλίου 1</w:t>
      </w:r>
      <w:r w:rsidRPr="00147802">
        <w:rPr>
          <w:rFonts w:ascii="Palatino Linotype" w:hAnsi="Palatino Linotype"/>
          <w:vertAlign w:val="superscript"/>
        </w:rPr>
        <w:t xml:space="preserve">η </w:t>
      </w:r>
      <w:r>
        <w:rPr>
          <w:rFonts w:ascii="Palatino Linotype" w:hAnsi="Palatino Linotype"/>
        </w:rPr>
        <w:t xml:space="preserve"> παράγραφος.</w:t>
      </w:r>
    </w:p>
    <w:p w:rsidR="00525A5B" w:rsidRDefault="00525A5B" w:rsidP="00525A5B">
      <w:pPr>
        <w:jc w:val="both"/>
        <w:rPr>
          <w:rFonts w:ascii="Palatino Linotype" w:hAnsi="Palatino Linotype"/>
        </w:rPr>
      </w:pPr>
    </w:p>
    <w:p w:rsidR="00525A5B" w:rsidRDefault="00525A5B" w:rsidP="00525A5B">
      <w:pPr>
        <w:jc w:val="both"/>
        <w:rPr>
          <w:rFonts w:ascii="Palatino Linotype" w:hAnsi="Palatino Linotype"/>
        </w:rPr>
      </w:pPr>
      <w:r>
        <w:rPr>
          <w:rFonts w:ascii="Palatino Linotype" w:hAnsi="Palatino Linotype"/>
        </w:rPr>
        <w:t xml:space="preserve">Β5. θεσμός : </w:t>
      </w:r>
      <w:proofErr w:type="spellStart"/>
      <w:r>
        <w:rPr>
          <w:rFonts w:ascii="Palatino Linotype" w:hAnsi="Palatino Linotype"/>
        </w:rPr>
        <w:t>νομοθετητέον</w:t>
      </w:r>
      <w:proofErr w:type="spellEnd"/>
    </w:p>
    <w:p w:rsidR="00525A5B" w:rsidRDefault="00525A5B" w:rsidP="00525A5B">
      <w:pPr>
        <w:tabs>
          <w:tab w:val="center" w:pos="4873"/>
        </w:tabs>
        <w:jc w:val="both"/>
        <w:rPr>
          <w:rFonts w:ascii="Palatino Linotype" w:hAnsi="Palatino Linotype"/>
        </w:rPr>
      </w:pPr>
      <w:r>
        <w:rPr>
          <w:rFonts w:ascii="Palatino Linotype" w:hAnsi="Palatino Linotype"/>
        </w:rPr>
        <w:t xml:space="preserve">      φαινόμενο : φανερόν</w:t>
      </w:r>
      <w:r>
        <w:rPr>
          <w:rFonts w:ascii="Palatino Linotype" w:hAnsi="Palatino Linotype"/>
        </w:rPr>
        <w:tab/>
        <w:t xml:space="preserve">αίρεση : </w:t>
      </w:r>
      <w:proofErr w:type="spellStart"/>
      <w:r>
        <w:rPr>
          <w:rFonts w:ascii="Palatino Linotype" w:hAnsi="Palatino Linotype"/>
        </w:rPr>
        <w:t>διηρημένον</w:t>
      </w:r>
      <w:proofErr w:type="spellEnd"/>
    </w:p>
    <w:p w:rsidR="00525A5B" w:rsidRDefault="00525A5B" w:rsidP="00525A5B">
      <w:pPr>
        <w:tabs>
          <w:tab w:val="left" w:pos="3810"/>
        </w:tabs>
        <w:jc w:val="both"/>
        <w:rPr>
          <w:rFonts w:ascii="Palatino Linotype" w:hAnsi="Palatino Linotype"/>
        </w:rPr>
      </w:pPr>
      <w:r>
        <w:rPr>
          <w:rFonts w:ascii="Palatino Linotype" w:hAnsi="Palatino Linotype"/>
        </w:rPr>
        <w:t xml:space="preserve">      ουσία : </w:t>
      </w:r>
      <w:proofErr w:type="spellStart"/>
      <w:r>
        <w:rPr>
          <w:rFonts w:ascii="Palatino Linotype" w:hAnsi="Palatino Linotype"/>
        </w:rPr>
        <w:t>έσται</w:t>
      </w:r>
      <w:proofErr w:type="spellEnd"/>
      <w:r>
        <w:rPr>
          <w:rFonts w:ascii="Palatino Linotype" w:hAnsi="Palatino Linotype"/>
        </w:rPr>
        <w:tab/>
        <w:t xml:space="preserve">σχέση : </w:t>
      </w:r>
      <w:proofErr w:type="spellStart"/>
      <w:r>
        <w:rPr>
          <w:rFonts w:ascii="Palatino Linotype" w:hAnsi="Palatino Linotype"/>
        </w:rPr>
        <w:t>μετέχειν</w:t>
      </w:r>
      <w:proofErr w:type="spellEnd"/>
    </w:p>
    <w:p w:rsidR="00525A5B" w:rsidRDefault="00525A5B" w:rsidP="00525A5B">
      <w:pPr>
        <w:tabs>
          <w:tab w:val="left" w:pos="3810"/>
        </w:tabs>
        <w:jc w:val="both"/>
        <w:rPr>
          <w:rFonts w:ascii="Palatino Linotype" w:hAnsi="Palatino Linotype"/>
        </w:rPr>
      </w:pPr>
      <w:r>
        <w:rPr>
          <w:rFonts w:ascii="Palatino Linotype" w:hAnsi="Palatino Linotype"/>
        </w:rPr>
        <w:t xml:space="preserve">       βήμα : αμφισβητείται</w:t>
      </w:r>
      <w:r>
        <w:rPr>
          <w:rFonts w:ascii="Palatino Linotype" w:hAnsi="Palatino Linotype"/>
        </w:rPr>
        <w:tab/>
        <w:t>κατάχρηση : άχρηστον</w:t>
      </w:r>
    </w:p>
    <w:p w:rsidR="00525A5B" w:rsidRDefault="00525A5B" w:rsidP="00525A5B">
      <w:pPr>
        <w:jc w:val="both"/>
        <w:rPr>
          <w:rFonts w:ascii="Palatino Linotype" w:hAnsi="Palatino Linotype"/>
        </w:rPr>
      </w:pPr>
      <w:r>
        <w:rPr>
          <w:rFonts w:ascii="Palatino Linotype" w:hAnsi="Palatino Linotype"/>
        </w:rPr>
        <w:t xml:space="preserve">      αρμός : </w:t>
      </w:r>
      <w:proofErr w:type="spellStart"/>
      <w:r>
        <w:rPr>
          <w:rFonts w:ascii="Palatino Linotype" w:hAnsi="Palatino Linotype"/>
        </w:rPr>
        <w:t>αρετήν</w:t>
      </w:r>
      <w:proofErr w:type="spellEnd"/>
    </w:p>
    <w:p w:rsidR="00525A5B" w:rsidRDefault="00525A5B" w:rsidP="00525A5B">
      <w:pPr>
        <w:jc w:val="both"/>
        <w:rPr>
          <w:rFonts w:ascii="Palatino Linotype" w:hAnsi="Palatino Linotype"/>
        </w:rPr>
      </w:pPr>
      <w:r>
        <w:rPr>
          <w:rFonts w:ascii="Palatino Linotype" w:hAnsi="Palatino Linotype"/>
        </w:rPr>
        <w:t xml:space="preserve">      διένεξη : </w:t>
      </w:r>
      <w:proofErr w:type="spellStart"/>
      <w:r>
        <w:rPr>
          <w:rFonts w:ascii="Palatino Linotype" w:hAnsi="Palatino Linotype"/>
        </w:rPr>
        <w:t>διαφέρονται</w:t>
      </w:r>
      <w:proofErr w:type="spellEnd"/>
    </w:p>
    <w:p w:rsidR="00525A5B" w:rsidRDefault="00525A5B" w:rsidP="00525A5B">
      <w:pPr>
        <w:jc w:val="both"/>
        <w:rPr>
          <w:rFonts w:ascii="Palatino Linotype" w:hAnsi="Palatino Linotype"/>
        </w:rPr>
      </w:pPr>
      <w:r>
        <w:rPr>
          <w:rFonts w:ascii="Palatino Linotype" w:hAnsi="Palatino Linotype"/>
        </w:rPr>
        <w:t xml:space="preserve">      δήλωση : </w:t>
      </w:r>
      <w:proofErr w:type="spellStart"/>
      <w:r>
        <w:rPr>
          <w:rFonts w:ascii="Palatino Linotype" w:hAnsi="Palatino Linotype"/>
        </w:rPr>
        <w:t>άδηλον</w:t>
      </w:r>
      <w:proofErr w:type="spellEnd"/>
    </w:p>
    <w:p w:rsidR="00525A5B" w:rsidRPr="0089328C" w:rsidRDefault="00525A5B" w:rsidP="00525A5B">
      <w:pPr>
        <w:jc w:val="both"/>
        <w:rPr>
          <w:rFonts w:ascii="Palatino Linotype" w:hAnsi="Palatino Linotype"/>
        </w:rPr>
      </w:pPr>
      <w:r>
        <w:rPr>
          <w:rFonts w:ascii="Palatino Linotype" w:hAnsi="Palatino Linotype"/>
        </w:rPr>
        <w:t xml:space="preserve">       </w:t>
      </w:r>
    </w:p>
    <w:p w:rsidR="00525A5B" w:rsidRPr="000D40AF" w:rsidRDefault="00525A5B" w:rsidP="004A10BD">
      <w:pPr>
        <w:spacing w:line="276" w:lineRule="auto"/>
        <w:jc w:val="both"/>
        <w:rPr>
          <w:rFonts w:ascii="Palatino Linotype" w:hAnsi="Palatino Linotype"/>
        </w:rPr>
      </w:pPr>
    </w:p>
    <w:sectPr w:rsidR="00525A5B" w:rsidRPr="000D40AF" w:rsidSect="00942A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AF"/>
    <w:rsid w:val="000D40AF"/>
    <w:rsid w:val="001E0611"/>
    <w:rsid w:val="002C0170"/>
    <w:rsid w:val="0030603C"/>
    <w:rsid w:val="003D5FCB"/>
    <w:rsid w:val="004408CF"/>
    <w:rsid w:val="004A10BD"/>
    <w:rsid w:val="00525A5B"/>
    <w:rsid w:val="00647AC2"/>
    <w:rsid w:val="007F7042"/>
    <w:rsid w:val="0094244A"/>
    <w:rsid w:val="00942AD7"/>
    <w:rsid w:val="00A46D1E"/>
    <w:rsid w:val="00BC00E7"/>
    <w:rsid w:val="00CD7143"/>
    <w:rsid w:val="00DF6A9E"/>
    <w:rsid w:val="00E161A1"/>
    <w:rsid w:val="00E204E8"/>
    <w:rsid w:val="00F11691"/>
    <w:rsid w:val="00F62861"/>
    <w:rsid w:val="00FD133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0FF6F-88AC-465C-8296-9D50EA47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0AF"/>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0AF"/>
    <w:rPr>
      <w:rFonts w:ascii="Tahoma" w:hAnsi="Tahoma" w:cs="Tahoma"/>
      <w:sz w:val="16"/>
      <w:szCs w:val="16"/>
    </w:rPr>
  </w:style>
  <w:style w:type="character" w:customStyle="1" w:styleId="Char">
    <w:name w:val="Κείμενο πλαισίου Char"/>
    <w:basedOn w:val="a0"/>
    <w:link w:val="a3"/>
    <w:uiPriority w:val="99"/>
    <w:semiHidden/>
    <w:rsid w:val="000D40AF"/>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C4F0-EEAD-49DF-9676-7684D82E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1035</Words>
  <Characters>5592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dc:creator>
  <cp:keywords/>
  <dc:description/>
  <cp:lastModifiedBy>User</cp:lastModifiedBy>
  <cp:revision>3</cp:revision>
  <dcterms:created xsi:type="dcterms:W3CDTF">2017-04-17T16:51:00Z</dcterms:created>
  <dcterms:modified xsi:type="dcterms:W3CDTF">2017-04-17T17:02:00Z</dcterms:modified>
</cp:coreProperties>
</file>